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hint="eastAsia" w:ascii="仿宋_GB2312" w:eastAsia="仿宋_GB2312"/>
          <w:color w:val="FF3300"/>
          <w:position w:val="-12"/>
          <w:sz w:val="52"/>
          <w:szCs w:val="52"/>
          <w:u w:val="thick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6xEQtgAAAAJAQAADwAAAAAAAAABACAAAAAi&#10;AAAAZHJzL2Rvd25yZXYueG1sUEsBAhQAFAAAAAgAh07iQNYFH83RAQAAawMAAA4AAAAAAAAAAQAg&#10;AAAAJw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关于在共青校区召开新生班级辅导员、学工办学生助理及辅导员学生助理岗前培训的通知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各学科部：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一步加强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学院学工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队伍建设，帮助和引导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新生班级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辅导员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及相关学生助理尽快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适应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工作岗位需要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，提高工作能力和业务水平，经研究，决定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2018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生班级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辅导员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及相关学生助理的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岗前培训。现将具体事项通知如下：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一、参加对象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2018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级新生班级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辅导员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、各学科部学工办学生助理和辅导员学生助理。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二、培训时间及地点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2018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1点30分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地点：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共青校区明德楼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514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培训内容及主讲人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495" w:lineRule="atLeast"/>
        <w:ind w:left="600"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章懿：学生管理工作规范及新生报到流程讲解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495" w:lineRule="atLeast"/>
        <w:ind w:left="600"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余姮：资助政策解读及新生班级相关资助工作布置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四、培训要求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（一）岗前培训是新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生班级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辅导员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及新生助理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上岗的必要条件。请各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学科部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高度重视，确保所有新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生班级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辅导员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及新生助理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均能保质保量参加培训。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（二）参加培训的辅导员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、学生助理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应按要求参加培训活动，原则上不得请假。确有特殊情况不能参加，应经学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分管学生工作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党总支副书记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同意后，向学生工作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办理书面请假手续。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学生工作处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二〇一八年九月十七日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832" w:tblpY="4543"/>
        <w:tblW w:w="8928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8" w:type="dxa"/>
            <w:tcBorders>
              <w:top w:val="single" w:color="000000" w:sz="8" w:space="0"/>
              <w:bottom w:val="nil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南昌大学科学技术学院学生工作处    201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 xml:space="preserve">日印发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F51C24"/>
    <w:multiLevelType w:val="singleLevel"/>
    <w:tmpl w:val="CAF51C24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2CE25504"/>
    <w:multiLevelType w:val="singleLevel"/>
    <w:tmpl w:val="2CE255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D280D"/>
    <w:rsid w:val="0B480E66"/>
    <w:rsid w:val="12D160B8"/>
    <w:rsid w:val="167D280D"/>
    <w:rsid w:val="442F028A"/>
    <w:rsid w:val="49A00B66"/>
    <w:rsid w:val="4A4E5327"/>
    <w:rsid w:val="51BF2D0C"/>
    <w:rsid w:val="574220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uise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2018-09-17T03:16:00Z</dcterms:created>
  <dc:creator>唐雯</dc:creator>
  <lastModifiedBy>麦小兔☀</lastModifiedBy>
  <lastPrinted>2018-09-17T03:16:00Z</lastPrinted>
  <dcterms:modified xsi:type="dcterms:W3CDTF">2018-09-17T07:10:21Z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